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widowControl w:val="0"/>
        <w:spacing w:after="10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3905250" cy="1228725"/>
            <wp:effectExtent b="0" l="0" r="0" t="0"/>
            <wp:docPr descr="Newlogo.jpg" id="1" name="image2.jpg"/>
            <a:graphic>
              <a:graphicData uri="http://schemas.openxmlformats.org/drawingml/2006/picture">
                <pic:pic>
                  <pic:nvPicPr>
                    <pic:cNvPr descr="Newlogo.jpg" id="0" name="image2.jpg"/>
                    <pic:cNvPicPr preferRelativeResize="0"/>
                  </pic:nvPicPr>
                  <pic:blipFill>
                    <a:blip r:embed="rId5"/>
                    <a:srcRect b="0" l="0" r="0" t="0"/>
                    <a:stretch>
                      <a:fillRect/>
                    </a:stretch>
                  </pic:blipFill>
                  <pic:spPr>
                    <a:xfrm>
                      <a:off x="0" y="0"/>
                      <a:ext cx="3905250" cy="1228725"/>
                    </a:xfrm>
                    <a:prstGeom prst="rect"/>
                    <a:ln/>
                  </pic:spPr>
                </pic:pic>
              </a:graphicData>
            </a:graphic>
          </wp:inline>
        </w:drawing>
      </w:r>
      <w:r w:rsidDel="00000000" w:rsidR="00000000" w:rsidRPr="00000000">
        <w:rPr>
          <w:rtl w:val="0"/>
        </w:rPr>
      </w:r>
    </w:p>
    <w:p w:rsidR="00000000" w:rsidDel="00000000" w:rsidP="00000000" w:rsidRDefault="00000000" w:rsidRPr="00000000">
      <w:pPr>
        <w:widowControl w:val="0"/>
        <w:spacing w:after="100" w:lineRule="auto"/>
        <w:contextualSpacing w:val="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widowControl w:val="0"/>
        <w:spacing w:after="100" w:lineRule="auto"/>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Suggested session format for discussion workshops based on the paper:</w:t>
      </w:r>
    </w:p>
    <w:p w:rsidR="00000000" w:rsidDel="00000000" w:rsidP="00000000" w:rsidRDefault="00000000" w:rsidRPr="00000000">
      <w:pPr>
        <w:widowControl w:val="0"/>
        <w:spacing w:after="100" w:lineRule="auto"/>
        <w:contextualSpacing w:val="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Is the tide turning? Policy proposals for youth work: A discussion paper.</w:t>
      </w:r>
    </w:p>
    <w:p w:rsidR="00000000" w:rsidDel="00000000" w:rsidP="00000000" w:rsidRDefault="00000000" w:rsidRPr="00000000">
      <w:pPr>
        <w:widowControl w:val="0"/>
        <w:spacing w:after="100" w:lineRule="auto"/>
        <w:contextualSpacing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Defence of Youth Work, Summer 2017</w:t>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Defence of Youth Work created the ‘Is the Tide Turning?’ discussion paper in summer 2017 in order to encourage discussion around the potential revival of open youth work, particularly in the aftermath of the 2017 General Election.</w:t>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would like to encourage individuals and groups who read the paper to organise discussion workshops based on the paper to discuss its key tenets. We hope to gather feedback from these events to feed into our analysis of the responses to the paper and the way forward for open youth work. We will collate and analyse this feedback and share it widely including at our 2018 annual conference.</w:t>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session format suggestions below are intended as a template for those who want some guidance on how they might run such a workshop. Please don’t see them as a rigid formula but do organise your workshops and gather evidence in any form to send back to us.</w:t>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Focus of the workshops</w:t>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suggest that participants are sent the ‘Is the Tide Turning?’ discussion paper in advance of the workshop and encouraged to read and reflect on it.</w:t>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 the start of the workshops, hard copies of the paper could be provided and participants encouraged to re-read the summary. Alternatively, the summary might be displayed on a large screen.</w:t>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imagine that the workshops will be centred around the three questions that are contained within the summary (and perhaps also any sub-questions that emerge in initial discussions):</w:t>
      </w:r>
    </w:p>
    <w:p w:rsidR="00000000" w:rsidDel="00000000" w:rsidP="00000000" w:rsidRDefault="00000000" w:rsidRPr="0000000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numPr>
          <w:ilvl w:val="0"/>
          <w:numId w:val="1"/>
        </w:numPr>
        <w:spacing w:after="0" w:before="0" w:lineRule="auto"/>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Should local authority youth services be reopened, or are there different ways that state-supported youth work can be organised? </w:t>
      </w:r>
    </w:p>
    <w:p w:rsidR="00000000" w:rsidDel="00000000" w:rsidP="00000000" w:rsidRDefault="00000000" w:rsidRPr="00000000">
      <w:pPr>
        <w:widowControl w:val="0"/>
        <w:numPr>
          <w:ilvl w:val="0"/>
          <w:numId w:val="1"/>
        </w:numPr>
        <w:spacing w:after="0" w:before="0" w:lineRule="auto"/>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principles should underpin the revival of open youth work? </w:t>
      </w:r>
    </w:p>
    <w:p w:rsidR="00000000" w:rsidDel="00000000" w:rsidP="00000000" w:rsidRDefault="00000000" w:rsidRPr="00000000">
      <w:pPr>
        <w:widowControl w:val="0"/>
        <w:numPr>
          <w:ilvl w:val="0"/>
          <w:numId w:val="1"/>
        </w:numPr>
        <w:spacing w:after="0" w:before="0" w:lineRule="auto"/>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can these changes be made feasible in terms of funding, infrastructure and staffing?</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Suggested large-group workshop format</w:t>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Brief introductions - 5 mins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Re-read summary of paper – individually or collectively (from front or in small groups) – 10 mins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Initial thoughts on paper, emerging questions, and/or initial responses to questions from each individual (one sentence each if very large group) - 15 mins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Main Discussion – 1 hour:</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Open space discussions around tables covered with paper tablecloths/flipchart pages and with several marker pens on each. Participants to choose tables based on one of three questions to discuss as below and to stay at their initial table or move around as they choose:</w:t>
      </w:r>
    </w:p>
    <w:p w:rsidR="00000000" w:rsidDel="00000000" w:rsidP="00000000" w:rsidRDefault="00000000" w:rsidRPr="00000000">
      <w:pPr>
        <w:widowControl w:val="0"/>
        <w:numPr>
          <w:ilvl w:val="0"/>
          <w:numId w:val="1"/>
        </w:numPr>
        <w:spacing w:after="0" w:before="0" w:lineRule="auto"/>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Should local authority youth services be reopened, or are there different ways that state-supported youth work can be organised? </w:t>
      </w:r>
    </w:p>
    <w:p w:rsidR="00000000" w:rsidDel="00000000" w:rsidP="00000000" w:rsidRDefault="00000000" w:rsidRPr="00000000">
      <w:pPr>
        <w:widowControl w:val="0"/>
        <w:numPr>
          <w:ilvl w:val="0"/>
          <w:numId w:val="1"/>
        </w:numPr>
        <w:spacing w:after="0" w:before="0" w:lineRule="auto"/>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principles should underpin the revival of open youth work? </w:t>
      </w:r>
    </w:p>
    <w:p w:rsidR="00000000" w:rsidDel="00000000" w:rsidP="00000000" w:rsidRDefault="00000000" w:rsidRPr="00000000">
      <w:pPr>
        <w:widowControl w:val="0"/>
        <w:numPr>
          <w:ilvl w:val="0"/>
          <w:numId w:val="1"/>
        </w:numPr>
        <w:spacing w:after="0" w:before="0" w:lineRule="auto"/>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can the revival of open youth work be made feasible in terms of funding, infrastructure and staffing?</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Alternatively, participants could be equally divided into groups and circulate each question table in their groups. We would recommend no more than 6-8 people per group to maximise discussion so very large groups may require more than one group/table per question. You could also use additional questions from the initial responses exercise before the main discussion if you wish to create more groups. Participants invited to write down any key points, questions, responses on the tablecloths/flipchart throughout discussions.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Plenary – the way forward:</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Final groups to feedback 5 key points from the question they last discussed. Other participants invited to add further key points (Collated on flipchart by a scribe at front of room) – 20 mins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next? How might we take forward our ideas? What needs to be done? </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Practical next steps invited from group and recorded on flipchart by scribe – 20 mins.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Final thoughts – all participants invited to record a final key thought on a post-it note from discussions and to stick to wall. – 10 mins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Informal networking – read post-its, informal discussions and socialising.</w:t>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Suggested small-group workshop format</w:t>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Introductions - 5 mins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Re-read summary of paper (individually or collectively) – 10 mins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Initial thoughts on paper, emerging questions, and/or initial responses to questions from each individual – 15 mins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Main Discussion – 1 hour:</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Discuss each question in turn as below whilst a scribe notes key points from discussion on flipchart:</w:t>
      </w:r>
    </w:p>
    <w:p w:rsidR="00000000" w:rsidDel="00000000" w:rsidP="00000000" w:rsidRDefault="00000000" w:rsidRPr="00000000">
      <w:pPr>
        <w:widowControl w:val="0"/>
        <w:numPr>
          <w:ilvl w:val="0"/>
          <w:numId w:val="1"/>
        </w:numPr>
        <w:spacing w:after="0" w:before="0" w:lineRule="auto"/>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Should local authority youth services be reopened, or are there different ways that state-supported youth work can be organised? </w:t>
      </w:r>
    </w:p>
    <w:p w:rsidR="00000000" w:rsidDel="00000000" w:rsidP="00000000" w:rsidRDefault="00000000" w:rsidRPr="00000000">
      <w:pPr>
        <w:widowControl w:val="0"/>
        <w:numPr>
          <w:ilvl w:val="0"/>
          <w:numId w:val="1"/>
        </w:numPr>
        <w:spacing w:after="0" w:before="0" w:lineRule="auto"/>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principles should underpin the revival of open youth work? </w:t>
      </w:r>
    </w:p>
    <w:p w:rsidR="00000000" w:rsidDel="00000000" w:rsidP="00000000" w:rsidRDefault="00000000" w:rsidRPr="00000000">
      <w:pPr>
        <w:widowControl w:val="0"/>
        <w:numPr>
          <w:ilvl w:val="0"/>
          <w:numId w:val="1"/>
        </w:numPr>
        <w:spacing w:after="0" w:before="0" w:lineRule="auto"/>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can the revival of open youth work be made feasible in terms of funding, infrastructure and staffing?</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the group is not too small (10+), this could be done in two groups to maximise contributions. We suggest that the scribe changes with each question to allow them a break and that 15-20 minutes is spent discussing each question. If the group(s) is seated around a table, this could be covered with a paper table-cloth or flipchart pages and marker pens provided so that individuals can be encouraged to write down stand-out points or thoughts throughout the discussion.</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way forward:</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Whole group to decide on the 5 key points from the discussions of each question (Collated on flipchart by a scribe at front of room) – 20 mins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next? How might we take forward our ideas? What needs to be done? </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Practical next steps invited from group and recorded on flipchart by scribe – 15 mins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Final thoughts – all participants invited to give a final key thought they will take from the workshops (Either recorded on flipchart by a scribe or invited to write down individually on post-it notes or a flipchart page on the table – 10 mins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Informal discussions and socialising.</w:t>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Sending us your feedback</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Please send us electronically the evidence/feedback from your events by sending to the email address below:</w:t>
      </w:r>
    </w:p>
    <w:p w:rsidR="00000000" w:rsidDel="00000000" w:rsidP="00000000" w:rsidRDefault="00000000" w:rsidRPr="00000000">
      <w:pPr>
        <w:widowControl w:val="0"/>
        <w:contextualSpacing w:val="0"/>
        <w:rPr>
          <w:rFonts w:ascii="Times New Roman" w:cs="Times New Roman" w:eastAsia="Times New Roman" w:hAnsi="Times New Roman"/>
        </w:rPr>
      </w:pPr>
      <w:hyperlink r:id="rId6">
        <w:r w:rsidDel="00000000" w:rsidR="00000000" w:rsidRPr="00000000">
          <w:rPr>
            <w:rFonts w:ascii="Times New Roman" w:cs="Times New Roman" w:eastAsia="Times New Roman" w:hAnsi="Times New Roman"/>
            <w:color w:val="0000ff"/>
            <w:u w:val="single"/>
            <w:rtl w:val="0"/>
          </w:rPr>
          <w:t xml:space="preserve">isthetideturning@gmail.com</w:t>
        </w:r>
      </w:hyperlink>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Your feedback can take any electronic form such as photos, videos, written summaries, images of flipcharts, tables-cloths, post-its, etc, from your workshops. Please ensure you have permission of your workshop participants to send any photos/videos for these to be used publicly by In Defence of Youth Work.</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you prefer the group organiser can also/instead fill in the form below and email to us: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Feedback form</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Workshop location:</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Number of participants: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bit about your group (e.g. job titles/roles, settings worked in, employed and/or volunteers, etc, etc):</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Key points in response to the following questions from your discussions: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numPr>
          <w:ilvl w:val="0"/>
          <w:numId w:val="2"/>
        </w:numPr>
        <w:spacing w:after="0" w:before="0" w:lineRule="auto"/>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Should local authority youth services be reopened, or are there different ways that state-supported youth work can be organised? </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numPr>
          <w:ilvl w:val="0"/>
          <w:numId w:val="2"/>
        </w:numPr>
        <w:spacing w:after="0" w:before="0" w:lineRule="auto"/>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principles should underpin the revival of open youth work? </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numPr>
          <w:ilvl w:val="0"/>
          <w:numId w:val="2"/>
        </w:numPr>
        <w:spacing w:after="0" w:before="0" w:lineRule="auto"/>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can the revival of open youth work be made feasible in terms of funding, infrastructure and staffing?</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Key points as to practical next steps: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Any additional information/feedback/points from the discussions:</w:t>
      </w:r>
    </w:p>
    <w:p w:rsidR="00000000" w:rsidDel="00000000" w:rsidP="00000000" w:rsidRDefault="00000000" w:rsidRPr="00000000">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contextualSpacing w:val="0"/>
        <w:rPr>
          <w:rFonts w:ascii="Times New Roman" w:cs="Times New Roman" w:eastAsia="Times New Roman" w:hAnsi="Times New Roman"/>
          <w:sz w:val="24"/>
          <w:szCs w:val="24"/>
        </w:rPr>
      </w:pPr>
      <w:bookmarkStart w:colFirst="0" w:colLast="0" w:name="_gjdgxs" w:id="0"/>
      <w:bookmarkEnd w:id="0"/>
      <w:r w:rsidDel="00000000" w:rsidR="00000000" w:rsidRPr="00000000">
        <w:rPr>
          <w:rtl w:val="0"/>
        </w:rPr>
      </w:r>
    </w:p>
    <w:sectPr>
      <w:pgSz w:h="16838" w:w="11906"/>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hanging="360"/>
      </w:pPr>
      <w:rPr>
        <w:rFonts w:ascii="Arial" w:cs="Arial" w:eastAsia="Arial" w:hAnsi="Arial"/>
        <w:strike w:val="0"/>
        <w:u w:val="none"/>
      </w:rPr>
    </w:lvl>
    <w:lvl w:ilvl="1">
      <w:start w:val="1"/>
      <w:numFmt w:val="bullet"/>
      <w:lvlText w:val="○"/>
      <w:lvlJc w:val="left"/>
      <w:pPr>
        <w:ind w:left="1440" w:hanging="360"/>
      </w:pPr>
      <w:rPr>
        <w:rFonts w:ascii="Arial" w:cs="Arial" w:eastAsia="Arial" w:hAnsi="Arial"/>
        <w:strike w:val="0"/>
        <w:u w:val="none"/>
      </w:rPr>
    </w:lvl>
    <w:lvl w:ilvl="2">
      <w:start w:val="1"/>
      <w:numFmt w:val="bullet"/>
      <w:lvlText w:val="■"/>
      <w:lvlJc w:val="left"/>
      <w:pPr>
        <w:ind w:left="2160" w:hanging="360"/>
      </w:pPr>
      <w:rPr>
        <w:rFonts w:ascii="Arial" w:cs="Arial" w:eastAsia="Arial" w:hAnsi="Arial"/>
        <w:strike w:val="0"/>
        <w:u w:val="none"/>
      </w:rPr>
    </w:lvl>
    <w:lvl w:ilvl="3">
      <w:start w:val="1"/>
      <w:numFmt w:val="bullet"/>
      <w:lvlText w:val="●"/>
      <w:lvlJc w:val="left"/>
      <w:pPr>
        <w:ind w:left="2880" w:hanging="360"/>
      </w:pPr>
      <w:rPr>
        <w:rFonts w:ascii="Arial" w:cs="Arial" w:eastAsia="Arial" w:hAnsi="Arial"/>
        <w:strike w:val="0"/>
        <w:u w:val="none"/>
      </w:rPr>
    </w:lvl>
    <w:lvl w:ilvl="4">
      <w:start w:val="1"/>
      <w:numFmt w:val="bullet"/>
      <w:lvlText w:val="○"/>
      <w:lvlJc w:val="left"/>
      <w:pPr>
        <w:ind w:left="3600" w:hanging="360"/>
      </w:pPr>
      <w:rPr>
        <w:rFonts w:ascii="Arial" w:cs="Arial" w:eastAsia="Arial" w:hAnsi="Arial"/>
        <w:strike w:val="0"/>
        <w:u w:val="none"/>
      </w:rPr>
    </w:lvl>
    <w:lvl w:ilvl="5">
      <w:start w:val="1"/>
      <w:numFmt w:val="bullet"/>
      <w:lvlText w:val="■"/>
      <w:lvlJc w:val="left"/>
      <w:pPr>
        <w:ind w:left="4320" w:hanging="360"/>
      </w:pPr>
      <w:rPr>
        <w:rFonts w:ascii="Arial" w:cs="Arial" w:eastAsia="Arial" w:hAnsi="Arial"/>
        <w:strike w:val="0"/>
        <w:u w:val="none"/>
      </w:rPr>
    </w:lvl>
    <w:lvl w:ilvl="6">
      <w:start w:val="1"/>
      <w:numFmt w:val="bullet"/>
      <w:lvlText w:val="●"/>
      <w:lvlJc w:val="left"/>
      <w:pPr>
        <w:ind w:left="5040" w:hanging="360"/>
      </w:pPr>
      <w:rPr>
        <w:rFonts w:ascii="Arial" w:cs="Arial" w:eastAsia="Arial" w:hAnsi="Arial"/>
        <w:strike w:val="0"/>
        <w:u w:val="none"/>
      </w:rPr>
    </w:lvl>
    <w:lvl w:ilvl="7">
      <w:start w:val="1"/>
      <w:numFmt w:val="bullet"/>
      <w:lvlText w:val="○"/>
      <w:lvlJc w:val="left"/>
      <w:pPr>
        <w:ind w:left="5760" w:hanging="360"/>
      </w:pPr>
      <w:rPr>
        <w:rFonts w:ascii="Arial" w:cs="Arial" w:eastAsia="Arial" w:hAnsi="Arial"/>
        <w:strike w:val="0"/>
        <w:u w:val="none"/>
      </w:rPr>
    </w:lvl>
    <w:lvl w:ilvl="8">
      <w:start w:val="1"/>
      <w:numFmt w:val="bullet"/>
      <w:lvlText w:val="■"/>
      <w:lvlJc w:val="left"/>
      <w:pPr>
        <w:ind w:left="6480" w:hanging="360"/>
      </w:pPr>
      <w:rPr>
        <w:rFonts w:ascii="Arial" w:cs="Arial" w:eastAsia="Arial" w:hAnsi="Arial"/>
        <w:strike w:val="0"/>
        <w:u w:val="none"/>
      </w:rPr>
    </w:lvl>
  </w:abstractNum>
  <w:abstractNum w:abstractNumId="2">
    <w:lvl w:ilvl="0">
      <w:start w:val="1"/>
      <w:numFmt w:val="decimal"/>
      <w:lvlText w:val="%1."/>
      <w:lvlJc w:val="left"/>
      <w:pPr>
        <w:ind w:left="720" w:hanging="360"/>
      </w:pPr>
      <w:rPr>
        <w:strike w:val="0"/>
        <w:u w:val="none"/>
      </w:rPr>
    </w:lvl>
    <w:lvl w:ilvl="1">
      <w:start w:val="1"/>
      <w:numFmt w:val="bullet"/>
      <w:lvlText w:val="○"/>
      <w:lvlJc w:val="left"/>
      <w:pPr>
        <w:ind w:left="1440" w:hanging="360"/>
      </w:pPr>
      <w:rPr>
        <w:rFonts w:ascii="Arial" w:cs="Arial" w:eastAsia="Arial" w:hAnsi="Arial"/>
        <w:strike w:val="0"/>
        <w:u w:val="none"/>
      </w:rPr>
    </w:lvl>
    <w:lvl w:ilvl="2">
      <w:start w:val="1"/>
      <w:numFmt w:val="bullet"/>
      <w:lvlText w:val="■"/>
      <w:lvlJc w:val="left"/>
      <w:pPr>
        <w:ind w:left="2160" w:hanging="360"/>
      </w:pPr>
      <w:rPr>
        <w:rFonts w:ascii="Arial" w:cs="Arial" w:eastAsia="Arial" w:hAnsi="Arial"/>
        <w:strike w:val="0"/>
        <w:u w:val="none"/>
      </w:rPr>
    </w:lvl>
    <w:lvl w:ilvl="3">
      <w:start w:val="1"/>
      <w:numFmt w:val="bullet"/>
      <w:lvlText w:val="●"/>
      <w:lvlJc w:val="left"/>
      <w:pPr>
        <w:ind w:left="2880" w:hanging="360"/>
      </w:pPr>
      <w:rPr>
        <w:rFonts w:ascii="Arial" w:cs="Arial" w:eastAsia="Arial" w:hAnsi="Arial"/>
        <w:strike w:val="0"/>
        <w:u w:val="none"/>
      </w:rPr>
    </w:lvl>
    <w:lvl w:ilvl="4">
      <w:start w:val="1"/>
      <w:numFmt w:val="bullet"/>
      <w:lvlText w:val="○"/>
      <w:lvlJc w:val="left"/>
      <w:pPr>
        <w:ind w:left="3600" w:hanging="360"/>
      </w:pPr>
      <w:rPr>
        <w:rFonts w:ascii="Arial" w:cs="Arial" w:eastAsia="Arial" w:hAnsi="Arial"/>
        <w:strike w:val="0"/>
        <w:u w:val="none"/>
      </w:rPr>
    </w:lvl>
    <w:lvl w:ilvl="5">
      <w:start w:val="1"/>
      <w:numFmt w:val="bullet"/>
      <w:lvlText w:val="■"/>
      <w:lvlJc w:val="left"/>
      <w:pPr>
        <w:ind w:left="4320" w:hanging="360"/>
      </w:pPr>
      <w:rPr>
        <w:rFonts w:ascii="Arial" w:cs="Arial" w:eastAsia="Arial" w:hAnsi="Arial"/>
        <w:strike w:val="0"/>
        <w:u w:val="none"/>
      </w:rPr>
    </w:lvl>
    <w:lvl w:ilvl="6">
      <w:start w:val="1"/>
      <w:numFmt w:val="bullet"/>
      <w:lvlText w:val="●"/>
      <w:lvlJc w:val="left"/>
      <w:pPr>
        <w:ind w:left="5040" w:hanging="360"/>
      </w:pPr>
      <w:rPr>
        <w:rFonts w:ascii="Arial" w:cs="Arial" w:eastAsia="Arial" w:hAnsi="Arial"/>
        <w:strike w:val="0"/>
        <w:u w:val="none"/>
      </w:rPr>
    </w:lvl>
    <w:lvl w:ilvl="7">
      <w:start w:val="1"/>
      <w:numFmt w:val="bullet"/>
      <w:lvlText w:val="○"/>
      <w:lvlJc w:val="left"/>
      <w:pPr>
        <w:ind w:left="5760" w:hanging="360"/>
      </w:pPr>
      <w:rPr>
        <w:rFonts w:ascii="Arial" w:cs="Arial" w:eastAsia="Arial" w:hAnsi="Arial"/>
        <w:strike w:val="0"/>
        <w:u w:val="none"/>
      </w:rPr>
    </w:lvl>
    <w:lvl w:ilvl="8">
      <w:start w:val="1"/>
      <w:numFmt w:val="bullet"/>
      <w:lvlText w:val="■"/>
      <w:lvlJc w:val="left"/>
      <w:pPr>
        <w:ind w:left="6480" w:hanging="360"/>
      </w:pPr>
      <w:rPr>
        <w:rFonts w:ascii="Arial" w:cs="Arial" w:eastAsia="Arial" w:hAnsi="Arial"/>
        <w:strike w:val="0"/>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GB"/>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2.jpg"/><Relationship Id="rId6" Type="http://schemas.openxmlformats.org/officeDocument/2006/relationships/hyperlink" Target="mailto:isthetideturning@gmail.com" TargetMode="External"/></Relationships>
</file>